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FCB5F" w14:textId="7063720E" w:rsidR="00AB5D36" w:rsidRPr="009D411D" w:rsidRDefault="00AB5D36" w:rsidP="00D80B69">
      <w:pPr>
        <w:pStyle w:val="berschrift-H2"/>
      </w:pPr>
      <w:r>
        <w:t>EcoVadis Rating: Rittal weltweit unter den besten 5 Prozent</w:t>
      </w:r>
    </w:p>
    <w:p w14:paraId="031D34B4" w14:textId="0541E20B" w:rsidR="0030636B" w:rsidRPr="00AB5D36" w:rsidRDefault="00AB5D36" w:rsidP="00D80B69">
      <w:pPr>
        <w:pStyle w:val="berschrift-H1"/>
        <w:rPr>
          <w:sz w:val="32"/>
          <w:szCs w:val="32"/>
        </w:rPr>
      </w:pPr>
      <w:r w:rsidRPr="00AB5D36">
        <w:rPr>
          <w:sz w:val="32"/>
          <w:szCs w:val="32"/>
        </w:rPr>
        <w:t>Gold für Nachhaltigke</w:t>
      </w:r>
      <w:r w:rsidR="00B1551B">
        <w:rPr>
          <w:sz w:val="32"/>
          <w:szCs w:val="32"/>
        </w:rPr>
        <w:t>it</w:t>
      </w:r>
      <w:r w:rsidR="00F96A2B">
        <w:rPr>
          <w:sz w:val="32"/>
          <w:szCs w:val="32"/>
        </w:rPr>
        <w:t xml:space="preserve"> bei Rittal</w:t>
      </w:r>
    </w:p>
    <w:p w14:paraId="28FB8BA0" w14:textId="02C869C3" w:rsidR="0030636B" w:rsidRPr="00F90E37" w:rsidRDefault="0030636B" w:rsidP="00D80B69">
      <w:pPr>
        <w:pStyle w:val="Ort-Datum"/>
      </w:pPr>
      <w:r w:rsidRPr="00F90E37">
        <w:t>Herborn, 202</w:t>
      </w:r>
      <w:r w:rsidR="007D38D6">
        <w:t>5</w:t>
      </w:r>
      <w:r w:rsidRPr="00F90E37">
        <w:t>-</w:t>
      </w:r>
      <w:r w:rsidR="007D38D6">
        <w:t>11</w:t>
      </w:r>
      <w:r w:rsidRPr="00F90E37">
        <w:t>-</w:t>
      </w:r>
      <w:r w:rsidR="001B7401">
        <w:t>10</w:t>
      </w:r>
      <w:r w:rsidRPr="00F90E37">
        <w:t>.</w:t>
      </w:r>
    </w:p>
    <w:p w14:paraId="5FECA254" w14:textId="669EDBAB" w:rsidR="00AB5D36" w:rsidRPr="00AB5D36" w:rsidRDefault="00AB5D36" w:rsidP="00AB5D36">
      <w:pPr>
        <w:pStyle w:val="Copytext-Intro"/>
      </w:pPr>
      <w:r>
        <w:t>Das ist ein starkes Signal für die Zukunft: Rittal hat die Bewertung durch Eco</w:t>
      </w:r>
      <w:r w:rsidR="007C2DF6">
        <w:t>v</w:t>
      </w:r>
      <w:r>
        <w:t>adis nicht nur erfolgreich abgeschlossen, sondern wurde für seine Nachhaltigkeitsleistungen sogar mit der Goldmedaille ausgezeichnet – damit gehört das Unternehmen weltweit zu den besten 5 Prozent.</w:t>
      </w:r>
      <w:r w:rsidR="00EB76F3">
        <w:t xml:space="preserve"> </w:t>
      </w:r>
    </w:p>
    <w:p w14:paraId="7B214448" w14:textId="079DC4E0" w:rsidR="00EB76F3" w:rsidRDefault="00AB5D36" w:rsidP="00D80B69">
      <w:pPr>
        <w:pStyle w:val="Copytext"/>
      </w:pPr>
      <w:r>
        <w:t xml:space="preserve">Verantwortung </w:t>
      </w:r>
      <w:r w:rsidR="00EB76F3">
        <w:t>übernehmen</w:t>
      </w:r>
      <w:r w:rsidR="00F96A2B">
        <w:t xml:space="preserve"> – für </w:t>
      </w:r>
      <w:r>
        <w:t xml:space="preserve">die Umwelt </w:t>
      </w:r>
      <w:r w:rsidR="000B1231">
        <w:t xml:space="preserve">und </w:t>
      </w:r>
      <w:r>
        <w:t>das Umfeld</w:t>
      </w:r>
      <w:r w:rsidR="00EB76F3">
        <w:t>,</w:t>
      </w:r>
      <w:r w:rsidR="000B1231">
        <w:t xml:space="preserve"> </w:t>
      </w:r>
      <w:r>
        <w:t xml:space="preserve">in dem </w:t>
      </w:r>
      <w:r w:rsidR="00EB76F3">
        <w:t>wir</w:t>
      </w:r>
      <w:r>
        <w:t xml:space="preserve"> </w:t>
      </w:r>
      <w:r w:rsidR="00EB76F3">
        <w:t xml:space="preserve">leben, für </w:t>
      </w:r>
      <w:r>
        <w:t>faire Lieferketten</w:t>
      </w:r>
      <w:r w:rsidR="00F8027E">
        <w:t>, nachhaltiges Wirtschaften und Transparenz</w:t>
      </w:r>
      <w:r w:rsidR="00F96A2B">
        <w:t>:</w:t>
      </w:r>
      <w:r w:rsidR="00F8027E">
        <w:t xml:space="preserve"> Dieses Handlungsprinzip hat Rittal nicht nur in seinen Unternehmensgrundsätzen fest verankert</w:t>
      </w:r>
      <w:r w:rsidR="00F96A2B">
        <w:t>. E</w:t>
      </w:r>
      <w:r w:rsidR="00F8027E">
        <w:t>s ist gelebter Anspruch des global agierenden Familienunternehmens. Erst jüngst fü</w:t>
      </w:r>
      <w:r w:rsidR="00A475E2">
        <w:t xml:space="preserve">r seine effiziente Produktion mit durchgängig digitalisierter Fertigung </w:t>
      </w:r>
      <w:r w:rsidR="00D52670">
        <w:t>durch den</w:t>
      </w:r>
      <w:r w:rsidR="00A475E2">
        <w:t xml:space="preserve"> Titel „Fabrik des Jahres 2025“ als einer der modernsten Fertigungen weltweit ausgezeichnet, zählt es </w:t>
      </w:r>
      <w:r w:rsidR="007C2DF6">
        <w:t xml:space="preserve">nun </w:t>
      </w:r>
      <w:r w:rsidR="00A475E2">
        <w:t>auch mit seinen Nachhaltigkeitsleistungen zu den weltweit besten 5 Prozent.</w:t>
      </w:r>
    </w:p>
    <w:p w14:paraId="6117625B" w14:textId="77777777" w:rsidR="00F8027E" w:rsidRDefault="00F8027E" w:rsidP="00D80B69">
      <w:pPr>
        <w:pStyle w:val="Copytext"/>
      </w:pPr>
    </w:p>
    <w:p w14:paraId="3DFE44E8" w14:textId="3A11062F" w:rsidR="007C2DF6" w:rsidRPr="007C2DF6" w:rsidRDefault="007C2DF6" w:rsidP="00D80B69">
      <w:pPr>
        <w:pStyle w:val="Copytext"/>
        <w:rPr>
          <w:b/>
          <w:bCs w:val="0"/>
        </w:rPr>
      </w:pPr>
      <w:r w:rsidRPr="007C2DF6">
        <w:rPr>
          <w:b/>
          <w:bCs w:val="0"/>
        </w:rPr>
        <w:t>Konsequent nachhaltig</w:t>
      </w:r>
    </w:p>
    <w:p w14:paraId="5408C7D6" w14:textId="74CF0BBB" w:rsidR="000B1231" w:rsidRDefault="00F96A2B" w:rsidP="00D80B69">
      <w:pPr>
        <w:pStyle w:val="Copytext"/>
      </w:pPr>
      <w:r>
        <w:t xml:space="preserve">Das belegt nun die Ecovadis </w:t>
      </w:r>
      <w:r w:rsidR="000A7A8B">
        <w:t>Gold</w:t>
      </w:r>
      <w:r>
        <w:t xml:space="preserve">medaille, </w:t>
      </w:r>
      <w:r w:rsidR="000A7A8B">
        <w:t xml:space="preserve">eine Bewertung, die </w:t>
      </w:r>
      <w:r w:rsidR="000A7A8B" w:rsidRPr="000A7A8B">
        <w:t>auf internationalen</w:t>
      </w:r>
      <w:r w:rsidR="00D52670">
        <w:t xml:space="preserve"> </w:t>
      </w:r>
      <w:r w:rsidR="000A7A8B" w:rsidRPr="000A7A8B">
        <w:t>Nachhaltigkeitsstandards wie den zehn Grundsätzen des UN Global Compact, den Konventionen der Internationalen Arbeitsorganisation (IAO), dem Standard der Global Reporting Initiative (GRI) und der Norm </w:t>
      </w:r>
      <w:r w:rsidR="000A7A8B" w:rsidRPr="0072098D">
        <w:t>ISO</w:t>
      </w:r>
      <w:r w:rsidR="000A7A8B" w:rsidRPr="000A7A8B">
        <w:t> 26000</w:t>
      </w:r>
      <w:r w:rsidR="000A7A8B">
        <w:t xml:space="preserve"> basiert</w:t>
      </w:r>
      <w:r>
        <w:t xml:space="preserve">. Es ist </w:t>
      </w:r>
      <w:r w:rsidR="007C2DF6">
        <w:t>weltweit</w:t>
      </w:r>
      <w:r w:rsidR="000A7A8B">
        <w:t xml:space="preserve"> ein </w:t>
      </w:r>
      <w:r w:rsidR="007C2DF6">
        <w:t xml:space="preserve">Beleg für konsequentes Nachhaltigkeitsmanagement und Transparenz in der Lieferkette. </w:t>
      </w:r>
      <w:r w:rsidR="00D52670">
        <w:t xml:space="preserve"> </w:t>
      </w:r>
      <w:r w:rsidR="000B1231" w:rsidRPr="000B1231">
        <w:t>Eco</w:t>
      </w:r>
      <w:r>
        <w:t>v</w:t>
      </w:r>
      <w:r w:rsidR="000B1231" w:rsidRPr="000B1231">
        <w:t xml:space="preserve">adis bewertet Unternehmen in vier zentralen Bereichen: Umwelt, Arbeits- und Menschenrechte, Ethik sowie nachhaltige Beschaffung. Rittal konnte in allen Kategorien deutlich zulegen – insgesamt um 18 Prozentpunkte. </w:t>
      </w:r>
    </w:p>
    <w:p w14:paraId="55813AEC" w14:textId="77777777" w:rsidR="007C2DF6" w:rsidRDefault="007C2DF6" w:rsidP="00D80B69">
      <w:pPr>
        <w:pStyle w:val="Copytext"/>
      </w:pPr>
    </w:p>
    <w:p w14:paraId="73B1E2BA" w14:textId="03FE57A5" w:rsidR="007C2DF6" w:rsidRPr="00AC6AC3" w:rsidRDefault="00D52670" w:rsidP="00D80B69">
      <w:pPr>
        <w:pStyle w:val="Copytext"/>
        <w:rPr>
          <w:b/>
          <w:bCs w:val="0"/>
        </w:rPr>
      </w:pPr>
      <w:r>
        <w:rPr>
          <w:b/>
          <w:bCs w:val="0"/>
        </w:rPr>
        <w:t>Entscheidende Verbesserungen</w:t>
      </w:r>
    </w:p>
    <w:p w14:paraId="427FC0A7" w14:textId="4601F8EC" w:rsidR="00AC6AC3" w:rsidRDefault="00F96A2B" w:rsidP="00AC6AC3">
      <w:pPr>
        <w:pStyle w:val="Copytext"/>
      </w:pPr>
      <w:r>
        <w:t xml:space="preserve">Das sind die Gründe für das Ergebnis im Ranking: </w:t>
      </w:r>
      <w:r w:rsidR="00AC6AC3">
        <w:t>Rittal hat</w:t>
      </w:r>
      <w:r>
        <w:t xml:space="preserve"> beispielsweise</w:t>
      </w:r>
      <w:r w:rsidR="00AC6AC3">
        <w:t xml:space="preserve"> sein Emissionsmanagement international optimiert</w:t>
      </w:r>
      <w:r>
        <w:t>, darunter</w:t>
      </w:r>
      <w:r w:rsidR="00AC6AC3">
        <w:t xml:space="preserve"> die Berechnung von CO</w:t>
      </w:r>
      <w:r w:rsidR="00AC6AC3">
        <w:rPr>
          <w:rFonts w:ascii="Cambria Math" w:hAnsi="Cambria Math" w:cs="Cambria Math"/>
        </w:rPr>
        <w:t>₂</w:t>
      </w:r>
      <w:r w:rsidR="00AC6AC3">
        <w:t>-Daten. Zahlreiche Projekte zur Steigerung der Energieeffizienz wurden umgesetzt –</w:t>
      </w:r>
      <w:r w:rsidR="00D31B48">
        <w:t xml:space="preserve"> wie etwa </w:t>
      </w:r>
      <w:r>
        <w:t>einer signifikanten</w:t>
      </w:r>
      <w:r w:rsidR="00AC6AC3">
        <w:t xml:space="preserve"> Temperaturabsenkung in der Lackieranlage. Allein im Jahr 2024 konnten so </w:t>
      </w:r>
      <w:r>
        <w:t xml:space="preserve">mehrere </w:t>
      </w:r>
      <w:r w:rsidR="00AC6AC3">
        <w:t>Millionen Kilowattstunden Energie eingespart werden.</w:t>
      </w:r>
      <w:r>
        <w:t xml:space="preserve"> </w:t>
      </w:r>
      <w:r w:rsidR="00AC6AC3">
        <w:lastRenderedPageBreak/>
        <w:t>Darüber hinaus hat Rittal den Product Carbon Footprint (PCF) für viele Produkte eingeführt</w:t>
      </w:r>
      <w:r w:rsidR="00D31B48">
        <w:t xml:space="preserve">. </w:t>
      </w:r>
      <w:r w:rsidR="00AC6AC3">
        <w:t>Kunden können die Emissionswerte nun direkt online einsehen. Auch die Produkte selbst wurden energieeffizienter: Die Blue e+ Kühlgeräte senken den Energieverbrauch um bis zu 75 Prozent und sparen pro Gerät jährlich rund eine Tonne CO</w:t>
      </w:r>
      <w:r w:rsidR="00AC6AC3">
        <w:rPr>
          <w:rFonts w:ascii="Cambria Math" w:hAnsi="Cambria Math" w:cs="Cambria Math"/>
        </w:rPr>
        <w:t>₂</w:t>
      </w:r>
      <w:r w:rsidR="00AC6AC3">
        <w:t xml:space="preserve"> – so viel wie eine Buche in 80 Jahren aufnehmen kann.</w:t>
      </w:r>
    </w:p>
    <w:p w14:paraId="1A5D2EB0" w14:textId="77777777" w:rsidR="00AC6AC3" w:rsidRDefault="00AC6AC3" w:rsidP="00AC6AC3">
      <w:pPr>
        <w:pStyle w:val="Copytext"/>
      </w:pPr>
    </w:p>
    <w:p w14:paraId="3A0EA3CE" w14:textId="292E6A19" w:rsidR="00AC6AC3" w:rsidRPr="00C86B95" w:rsidRDefault="00AC6AC3" w:rsidP="00AC6AC3">
      <w:pPr>
        <w:pStyle w:val="Copytext"/>
        <w:rPr>
          <w:b/>
          <w:bCs w:val="0"/>
        </w:rPr>
      </w:pPr>
      <w:r w:rsidRPr="00C86B95">
        <w:rPr>
          <w:b/>
          <w:bCs w:val="0"/>
        </w:rPr>
        <w:t xml:space="preserve">Verantwortung </w:t>
      </w:r>
      <w:r w:rsidR="00C86B95" w:rsidRPr="00C86B95">
        <w:rPr>
          <w:b/>
          <w:bCs w:val="0"/>
        </w:rPr>
        <w:t>als Selbstverständnis</w:t>
      </w:r>
    </w:p>
    <w:p w14:paraId="5351E4AE" w14:textId="6B816DF5" w:rsidR="000B1231" w:rsidRDefault="00B005E4" w:rsidP="00D80B69">
      <w:pPr>
        <w:pStyle w:val="Copytext"/>
      </w:pPr>
      <w:r>
        <w:t xml:space="preserve">Außerdem: </w:t>
      </w:r>
      <w:r w:rsidR="00AC6AC3">
        <w:t xml:space="preserve">Rittal </w:t>
      </w:r>
      <w:r w:rsidR="00F96A2B">
        <w:t xml:space="preserve">führt </w:t>
      </w:r>
      <w:r w:rsidR="00AC6AC3">
        <w:t>nationale und internationale Audits durch – sowohl in eigenen Gesellschaften als auch bei Lieferanten. Die Zertifizierung nach ISO 27001 unterstreicht den hohen Anspruch an Informationssicherheit.</w:t>
      </w:r>
      <w:r w:rsidR="00C86B95">
        <w:t xml:space="preserve"> Und: </w:t>
      </w:r>
      <w:r w:rsidR="00AC6AC3">
        <w:t>Nachhaltigkeit endet nicht a</w:t>
      </w:r>
      <w:r w:rsidR="0072098D">
        <w:t>m Werkstor</w:t>
      </w:r>
      <w:r w:rsidR="00AC6AC3">
        <w:t xml:space="preserve">. </w:t>
      </w:r>
      <w:r>
        <w:t>Das Unternehmen</w:t>
      </w:r>
      <w:r w:rsidR="00AC6AC3">
        <w:t xml:space="preserve"> </w:t>
      </w:r>
      <w:r>
        <w:t xml:space="preserve">stellt sicher, </w:t>
      </w:r>
      <w:r w:rsidR="00AC6AC3">
        <w:t xml:space="preserve">dass auch Partnerunternehmen </w:t>
      </w:r>
      <w:r w:rsidR="00F96A2B">
        <w:t xml:space="preserve">in der Lieferkette </w:t>
      </w:r>
      <w:r w:rsidR="00AC6AC3">
        <w:t>die hohen Standards einhalten.</w:t>
      </w:r>
    </w:p>
    <w:p w14:paraId="3C5ED22F" w14:textId="77777777" w:rsidR="00C86B95" w:rsidRDefault="00C86B95" w:rsidP="00D80B69">
      <w:pPr>
        <w:pStyle w:val="Copytext"/>
      </w:pPr>
    </w:p>
    <w:p w14:paraId="6C53EC77" w14:textId="3E5B3D86" w:rsidR="00B23C95" w:rsidRDefault="000747FD" w:rsidP="00D80B69">
      <w:pPr>
        <w:pStyle w:val="Copytext"/>
      </w:pPr>
      <w:r>
        <w:t>„</w:t>
      </w:r>
      <w:r w:rsidR="0072098D" w:rsidRPr="0072098D">
        <w:t>Als Familienunternehmen und Global Player ist es unser Anspruch, verantwortungsvoll im Sinne der Menschen zu handeln und unsere Lebengrundlage auch für zukünftige Generationen zu erhalten</w:t>
      </w:r>
      <w:r w:rsidR="00860229">
        <w:t xml:space="preserve"> </w:t>
      </w:r>
      <w:r w:rsidR="0072098D" w:rsidRPr="0072098D">
        <w:t>– bei allem was wir tun</w:t>
      </w:r>
      <w:r>
        <w:t>“, unterstreicht Philipp Guth, Chief Technology Officer (CTO) von Rittal: „</w:t>
      </w:r>
      <w:r w:rsidR="004C1959">
        <w:t>Mit dieser Haltung agieren wir in den globalen Märkten und Lieferketten</w:t>
      </w:r>
      <w:r w:rsidR="006B1DAE">
        <w:t xml:space="preserve"> und stellen sicher, für unsere Kunden ein hundertprozentig verlässlicher Lieferant zu sein.</w:t>
      </w:r>
      <w:r w:rsidR="004C1959">
        <w:t>“</w:t>
      </w:r>
    </w:p>
    <w:p w14:paraId="5E725258" w14:textId="77777777" w:rsidR="0072098D" w:rsidRDefault="0072098D" w:rsidP="00D80B69">
      <w:pPr>
        <w:pStyle w:val="Copytext"/>
      </w:pPr>
    </w:p>
    <w:p w14:paraId="175E0F3B" w14:textId="77777777" w:rsidR="00C86B95" w:rsidRPr="00AB5D36" w:rsidRDefault="00C86B95" w:rsidP="00D80B69">
      <w:pPr>
        <w:pStyle w:val="Copytext"/>
      </w:pPr>
    </w:p>
    <w:tbl>
      <w:tblPr>
        <w:tblW w:w="7653" w:type="dxa"/>
        <w:tblInd w:w="-28" w:type="dxa"/>
        <w:tblCellMar>
          <w:left w:w="0" w:type="dxa"/>
          <w:right w:w="28" w:type="dxa"/>
        </w:tblCellMar>
        <w:tblLook w:val="04A0" w:firstRow="1" w:lastRow="0" w:firstColumn="1" w:lastColumn="0" w:noHBand="0" w:noVBand="1"/>
      </w:tblPr>
      <w:tblGrid>
        <w:gridCol w:w="3913"/>
        <w:gridCol w:w="102"/>
        <w:gridCol w:w="3638"/>
      </w:tblGrid>
      <w:tr w:rsidR="00E4221A" w:rsidRPr="00D2409E" w14:paraId="7DCE8617" w14:textId="77777777" w:rsidTr="00080930">
        <w:trPr>
          <w:trHeight w:hRule="exact" w:val="2494"/>
        </w:trPr>
        <w:tc>
          <w:tcPr>
            <w:tcW w:w="3685" w:type="dxa"/>
            <w:tcMar>
              <w:left w:w="0" w:type="dxa"/>
              <w:right w:w="0" w:type="dxa"/>
            </w:tcMar>
            <w:vAlign w:val="bottom"/>
          </w:tcPr>
          <w:p w14:paraId="5AA025F9" w14:textId="74EF7C2F" w:rsidR="00C933FC" w:rsidRPr="007633E1" w:rsidRDefault="00420610" w:rsidP="00D80B69">
            <w:pPr>
              <w:pStyle w:val="Bu-Bildanker"/>
            </w:pPr>
            <w:r w:rsidRPr="00420610">
              <w:rPr>
                <w:noProof/>
              </w:rPr>
              <w:drawing>
                <wp:inline distT="0" distB="0" distL="0" distR="0" wp14:anchorId="227BFB41" wp14:editId="11EC6C5A">
                  <wp:extent cx="2467154" cy="1538292"/>
                  <wp:effectExtent l="0" t="0" r="0" b="5080"/>
                  <wp:docPr id="10916527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52759" name=""/>
                          <pic:cNvPicPr/>
                        </pic:nvPicPr>
                        <pic:blipFill>
                          <a:blip r:embed="rId8"/>
                          <a:stretch>
                            <a:fillRect/>
                          </a:stretch>
                        </pic:blipFill>
                        <pic:spPr>
                          <a:xfrm>
                            <a:off x="0" y="0"/>
                            <a:ext cx="2515194" cy="1568245"/>
                          </a:xfrm>
                          <a:prstGeom prst="rect">
                            <a:avLst/>
                          </a:prstGeom>
                        </pic:spPr>
                      </pic:pic>
                    </a:graphicData>
                  </a:graphic>
                </wp:inline>
              </w:drawing>
            </w:r>
          </w:p>
        </w:tc>
        <w:tc>
          <w:tcPr>
            <w:tcW w:w="283" w:type="dxa"/>
            <w:tcMar>
              <w:left w:w="0" w:type="dxa"/>
              <w:right w:w="0" w:type="dxa"/>
            </w:tcMar>
            <w:vAlign w:val="bottom"/>
          </w:tcPr>
          <w:p w14:paraId="4CDD9AEC" w14:textId="77777777" w:rsidR="00C933FC" w:rsidRDefault="00C933FC" w:rsidP="00D80B69">
            <w:pPr>
              <w:pStyle w:val="Bu-Bildanker"/>
            </w:pPr>
          </w:p>
        </w:tc>
        <w:tc>
          <w:tcPr>
            <w:tcW w:w="3685" w:type="dxa"/>
            <w:tcMar>
              <w:left w:w="0" w:type="dxa"/>
              <w:right w:w="0" w:type="dxa"/>
            </w:tcMar>
          </w:tcPr>
          <w:p w14:paraId="6C8D24ED" w14:textId="1CD63BD6" w:rsidR="00C933FC" w:rsidRPr="007633E1" w:rsidRDefault="00E4221A" w:rsidP="00D80B69">
            <w:pPr>
              <w:pStyle w:val="Bu-Bildanker"/>
            </w:pPr>
            <w:r w:rsidRPr="00E4221A">
              <w:rPr>
                <w:noProof/>
              </w:rPr>
              <w:drawing>
                <wp:anchor distT="0" distB="0" distL="114300" distR="114300" simplePos="0" relativeHeight="251658240" behindDoc="0" locked="0" layoutInCell="1" allowOverlap="1" wp14:anchorId="5A7CC1FF" wp14:editId="3F4F51DE">
                  <wp:simplePos x="0" y="0"/>
                  <wp:positionH relativeFrom="column">
                    <wp:posOffset>2540</wp:posOffset>
                  </wp:positionH>
                  <wp:positionV relativeFrom="paragraph">
                    <wp:posOffset>13335</wp:posOffset>
                  </wp:positionV>
                  <wp:extent cx="2294255" cy="1534160"/>
                  <wp:effectExtent l="0" t="0" r="0" b="8890"/>
                  <wp:wrapThrough wrapText="bothSides">
                    <wp:wrapPolygon edited="0">
                      <wp:start x="0" y="0"/>
                      <wp:lineTo x="0" y="21457"/>
                      <wp:lineTo x="21343" y="21457"/>
                      <wp:lineTo x="21343" y="0"/>
                      <wp:lineTo x="0" y="0"/>
                    </wp:wrapPolygon>
                  </wp:wrapThrough>
                  <wp:docPr id="166395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508" name=""/>
                          <pic:cNvPicPr/>
                        </pic:nvPicPr>
                        <pic:blipFill>
                          <a:blip r:embed="rId9"/>
                          <a:stretch>
                            <a:fillRect/>
                          </a:stretch>
                        </pic:blipFill>
                        <pic:spPr>
                          <a:xfrm>
                            <a:off x="0" y="0"/>
                            <a:ext cx="2294255" cy="1534160"/>
                          </a:xfrm>
                          <a:prstGeom prst="rect">
                            <a:avLst/>
                          </a:prstGeom>
                        </pic:spPr>
                      </pic:pic>
                    </a:graphicData>
                  </a:graphic>
                  <wp14:sizeRelH relativeFrom="margin">
                    <wp14:pctWidth>0</wp14:pctWidth>
                  </wp14:sizeRelH>
                  <wp14:sizeRelV relativeFrom="margin">
                    <wp14:pctHeight>0</wp14:pctHeight>
                  </wp14:sizeRelV>
                </wp:anchor>
              </w:drawing>
            </w:r>
          </w:p>
        </w:tc>
      </w:tr>
      <w:tr w:rsidR="00E4221A" w:rsidRPr="001E046B" w14:paraId="01FA39CF" w14:textId="77777777" w:rsidTr="00080930">
        <w:tc>
          <w:tcPr>
            <w:tcW w:w="3685" w:type="dxa"/>
            <w:tcMar>
              <w:left w:w="0" w:type="dxa"/>
              <w:right w:w="0" w:type="dxa"/>
            </w:tcMar>
          </w:tcPr>
          <w:p w14:paraId="76FB1311" w14:textId="641A8010" w:rsidR="00C933FC" w:rsidRPr="00080930" w:rsidRDefault="00C933FC" w:rsidP="00D80B69">
            <w:pPr>
              <w:pStyle w:val="BU-Head"/>
            </w:pPr>
            <w:r w:rsidRPr="00080930">
              <w:t>Bild</w:t>
            </w:r>
            <w:r w:rsidR="00E4221A">
              <w:t xml:space="preserve"> 1</w:t>
            </w:r>
          </w:p>
          <w:p w14:paraId="191776FA" w14:textId="5FBFC61A" w:rsidR="00C933FC" w:rsidRPr="000E6CF9" w:rsidRDefault="00E4221A" w:rsidP="00D80B69">
            <w:pPr>
              <w:pStyle w:val="BU"/>
              <w:rPr>
                <w:spacing w:val="-5"/>
              </w:rPr>
            </w:pPr>
            <w:r>
              <w:t>Wenn es um Nachhaltigkeitsmanagement und Transparenz in einem Unternehmen geht, dann ist das Rating von EcoVadis der internationale Standard. Hier gehört Rittal zu den weltweit besten 5 Prozent.</w:t>
            </w:r>
          </w:p>
        </w:tc>
        <w:tc>
          <w:tcPr>
            <w:tcW w:w="283" w:type="dxa"/>
            <w:tcMar>
              <w:left w:w="0" w:type="dxa"/>
              <w:right w:w="0" w:type="dxa"/>
            </w:tcMar>
          </w:tcPr>
          <w:p w14:paraId="343C1BC7" w14:textId="77777777" w:rsidR="00C933FC" w:rsidRPr="000E6CF9" w:rsidRDefault="00C933FC" w:rsidP="00D80B69">
            <w:pPr>
              <w:pStyle w:val="Copytext"/>
            </w:pPr>
          </w:p>
        </w:tc>
        <w:tc>
          <w:tcPr>
            <w:tcW w:w="3685" w:type="dxa"/>
            <w:tcMar>
              <w:left w:w="0" w:type="dxa"/>
              <w:right w:w="0" w:type="dxa"/>
            </w:tcMar>
          </w:tcPr>
          <w:p w14:paraId="01027BA9" w14:textId="144525B3" w:rsidR="00C933FC" w:rsidRPr="000E6CF9" w:rsidRDefault="00C933FC" w:rsidP="00D80B69">
            <w:pPr>
              <w:pStyle w:val="BU-Head"/>
            </w:pPr>
            <w:r w:rsidRPr="000E6CF9">
              <w:t>Bild</w:t>
            </w:r>
            <w:r w:rsidR="00E4221A">
              <w:t xml:space="preserve"> 2</w:t>
            </w:r>
          </w:p>
          <w:p w14:paraId="574EB81E" w14:textId="6E2C67DB" w:rsidR="00C933FC" w:rsidRPr="000E6CF9" w:rsidRDefault="00E4221A" w:rsidP="00D80B69">
            <w:pPr>
              <w:pStyle w:val="BU"/>
            </w:pPr>
            <w:r>
              <w:t>CTO Philipp Guth: „Rittal ist Teil global vernetzter Lieferketten, und die Verantwortung ist ein Teil von Rittal. Mit dieser Haltung agieren wir in den globalen Märkten und Lieferketten.“</w:t>
            </w:r>
          </w:p>
        </w:tc>
      </w:tr>
    </w:tbl>
    <w:p w14:paraId="0C70AA0C" w14:textId="77777777" w:rsidR="00D80B69" w:rsidRPr="000E6CF9" w:rsidRDefault="00D80B69" w:rsidP="00D80B69">
      <w:pPr>
        <w:pStyle w:val="BU"/>
      </w:pPr>
    </w:p>
    <w:p w14:paraId="77887025" w14:textId="266F071D" w:rsidR="00D2409E" w:rsidRPr="004305EE" w:rsidRDefault="00D80B69" w:rsidP="00D80B69">
      <w:pPr>
        <w:pStyle w:val="BU"/>
      </w:pPr>
      <w:r w:rsidRPr="00D80B69">
        <w:t>Abdruck honorarfrei. Bitte geben Sie als Quelle Rittal GmbH &amp; Co. KG an.</w:t>
      </w:r>
    </w:p>
    <w:p w14:paraId="48433341" w14:textId="77777777" w:rsidR="00C40907" w:rsidRPr="004305EE" w:rsidRDefault="00C40907" w:rsidP="00D80B69">
      <w:pPr>
        <w:pStyle w:val="Unternehmensportrait-H2"/>
        <w:rPr>
          <w:sz w:val="20"/>
        </w:rPr>
      </w:pPr>
      <w:r w:rsidRPr="004305EE">
        <w:br w:type="page"/>
      </w:r>
    </w:p>
    <w:p w14:paraId="5512201A" w14:textId="1FD89145" w:rsidR="0030636B" w:rsidRPr="00C707D4" w:rsidRDefault="00D80B69" w:rsidP="00D80B69">
      <w:pPr>
        <w:pStyle w:val="Unternehmensportrait-H1"/>
      </w:pPr>
      <w:r>
        <w:lastRenderedPageBreak/>
        <w:t>Rittal</w:t>
      </w:r>
    </w:p>
    <w:p w14:paraId="336656F8" w14:textId="77777777" w:rsidR="00C707D4" w:rsidRPr="00C707D4" w:rsidRDefault="00C707D4" w:rsidP="00D80B69">
      <w:pPr>
        <w:pStyle w:val="Unternehmensportrait-Linie"/>
      </w:pPr>
    </w:p>
    <w:p w14:paraId="74354BF7" w14:textId="5CF284C2" w:rsidR="00493580" w:rsidRDefault="006C7EF7" w:rsidP="00D80B69">
      <w:pPr>
        <w:pStyle w:val="Unternehmensportrait"/>
        <w:jc w:val="left"/>
      </w:pPr>
      <w:r>
        <w:t>Rittal ist ein weltweit führender Anbieter für Schaltschranksysteme, Automatisierung und Infrastruktur mit den Bereichen Industrie, IT, Energy &amp; Power, Cooling und Service. Produkte und Lösungen von Rittal sind</w:t>
      </w:r>
      <w:r>
        <w:rPr>
          <w:spacing w:val="40"/>
        </w:rPr>
        <w:t xml:space="preserve"> </w:t>
      </w:r>
      <w:r>
        <w:t>in über 90 Prozent der Branchen weltweit im Einsatz – standardisiert, kundenindividuell, in bester Qualität.</w:t>
      </w:r>
    </w:p>
    <w:p w14:paraId="6FF9CB20" w14:textId="77777777" w:rsidR="00493580" w:rsidRDefault="00493580" w:rsidP="00D80B69">
      <w:pPr>
        <w:pStyle w:val="Unternehmensportrait"/>
        <w:jc w:val="left"/>
      </w:pPr>
    </w:p>
    <w:p w14:paraId="149C2AAA" w14:textId="1074BE45" w:rsidR="00493580" w:rsidRDefault="006C7EF7" w:rsidP="00D80B69">
      <w:pPr>
        <w:pStyle w:val="Unternehmensportrait"/>
        <w:jc w:val="left"/>
      </w:pPr>
      <w:r>
        <w:t xml:space="preserve">Unser Ansatz: </w:t>
      </w:r>
      <w:r w:rsidR="00493580" w:rsidRPr="00493580">
        <w:t>Mit der Kombination aus Hardware- und Software-Kompetenzen optimieren, digitalisieren und automatisieren Rittal, Rittal Software Systems (Eplan, Cideon) und Rittal Automation Systems (RAS, Ehrt, Alfra) die Prozesse ihrer Kunden entlang der gesamten Wertschöpfungskette, inklusive IT-Infrastruktur – vom Steuerungs- und Schaltanlagenbau über den Maschinenbau und die fertigende Industrie bis hin zur Energiebranche.</w:t>
      </w:r>
    </w:p>
    <w:p w14:paraId="3E60F9D9" w14:textId="77777777" w:rsidR="00493580" w:rsidRDefault="00493580" w:rsidP="00D80B69">
      <w:pPr>
        <w:pStyle w:val="Unternehmensportrait"/>
        <w:jc w:val="left"/>
      </w:pPr>
    </w:p>
    <w:p w14:paraId="797D5853" w14:textId="0CDCFB2A" w:rsidR="006C7EF7" w:rsidRDefault="006C7EF7" w:rsidP="00D80B69">
      <w:pPr>
        <w:pStyle w:val="Unternehmensportrait"/>
        <w:jc w:val="left"/>
      </w:pPr>
      <w:r>
        <w:t>Unser Lieferversprechen: Rittal Serienprodukte werden in Deutschland innerhalb von 24, in Europa innerhalb von 48 Stunden geliefert.</w:t>
      </w:r>
    </w:p>
    <w:p w14:paraId="58B259AB" w14:textId="77777777" w:rsidR="006C7EF7" w:rsidRDefault="006C7EF7" w:rsidP="00D80B69">
      <w:pPr>
        <w:pStyle w:val="Unternehmensportrait-H2"/>
        <w:rPr>
          <w:spacing w:val="-2"/>
        </w:rPr>
      </w:pPr>
      <w:r>
        <w:t>Der</w:t>
      </w:r>
      <w:r>
        <w:rPr>
          <w:spacing w:val="4"/>
        </w:rPr>
        <w:t xml:space="preserve"> </w:t>
      </w:r>
      <w:r>
        <w:t>Kunde</w:t>
      </w:r>
      <w:r>
        <w:rPr>
          <w:spacing w:val="4"/>
        </w:rPr>
        <w:t xml:space="preserve"> </w:t>
      </w:r>
      <w:r>
        <w:t>im</w:t>
      </w:r>
      <w:r>
        <w:rPr>
          <w:spacing w:val="5"/>
        </w:rPr>
        <w:t xml:space="preserve"> </w:t>
      </w:r>
      <w:r>
        <w:rPr>
          <w:spacing w:val="-2"/>
        </w:rPr>
        <w:t>Fokus</w:t>
      </w:r>
    </w:p>
    <w:p w14:paraId="32142534" w14:textId="72139912" w:rsidR="00493580" w:rsidRDefault="006C7EF7" w:rsidP="00D80B69">
      <w:pPr>
        <w:pStyle w:val="Unternehmensportrait"/>
        <w:jc w:val="left"/>
      </w:pPr>
      <w:r>
        <w:t xml:space="preserve">Die Steigerung von Effizienz und Produktivität über Automatisierung und Digitalisierung ist eine der größten Herausforderungen unserer Kunden. Dafür braucht es tiefgehendes Domänenwissen, die Kombination von </w:t>
      </w:r>
      <w:r>
        <w:rPr>
          <w:spacing w:val="-2"/>
        </w:rPr>
        <w:t>Hardware</w:t>
      </w:r>
      <w:r>
        <w:rPr>
          <w:spacing w:val="-3"/>
        </w:rPr>
        <w:t xml:space="preserve"> </w:t>
      </w:r>
      <w:r>
        <w:rPr>
          <w:spacing w:val="-2"/>
        </w:rPr>
        <w:t>und</w:t>
      </w:r>
      <w:r>
        <w:rPr>
          <w:spacing w:val="-3"/>
        </w:rPr>
        <w:t xml:space="preserve"> </w:t>
      </w:r>
      <w:r>
        <w:rPr>
          <w:spacing w:val="-2"/>
        </w:rPr>
        <w:t>Software</w:t>
      </w:r>
      <w:r>
        <w:rPr>
          <w:spacing w:val="-3"/>
        </w:rPr>
        <w:t xml:space="preserve"> </w:t>
      </w:r>
      <w:r>
        <w:rPr>
          <w:spacing w:val="-2"/>
        </w:rPr>
        <w:t>und</w:t>
      </w:r>
      <w:r>
        <w:rPr>
          <w:spacing w:val="-3"/>
        </w:rPr>
        <w:t xml:space="preserve"> </w:t>
      </w:r>
      <w:r>
        <w:rPr>
          <w:spacing w:val="-2"/>
        </w:rPr>
        <w:t>übergreifende</w:t>
      </w:r>
      <w:r>
        <w:rPr>
          <w:spacing w:val="-3"/>
        </w:rPr>
        <w:t xml:space="preserve"> </w:t>
      </w:r>
      <w:r>
        <w:rPr>
          <w:spacing w:val="-2"/>
        </w:rPr>
        <w:t>Zusammenarbeit.</w:t>
      </w:r>
      <w:r>
        <w:rPr>
          <w:spacing w:val="-3"/>
        </w:rPr>
        <w:t xml:space="preserve"> </w:t>
      </w:r>
      <w:r>
        <w:rPr>
          <w:spacing w:val="-2"/>
        </w:rPr>
        <w:t>Wir</w:t>
      </w:r>
      <w:r>
        <w:rPr>
          <w:spacing w:val="-3"/>
        </w:rPr>
        <w:t xml:space="preserve"> </w:t>
      </w:r>
      <w:r>
        <w:rPr>
          <w:spacing w:val="-2"/>
        </w:rPr>
        <w:t>sind</w:t>
      </w:r>
      <w:r>
        <w:rPr>
          <w:spacing w:val="-3"/>
        </w:rPr>
        <w:t xml:space="preserve"> </w:t>
      </w:r>
      <w:r>
        <w:rPr>
          <w:spacing w:val="-2"/>
        </w:rPr>
        <w:t>überzeugt:</w:t>
      </w:r>
      <w:r>
        <w:rPr>
          <w:spacing w:val="-3"/>
        </w:rPr>
        <w:t xml:space="preserve"> </w:t>
      </w:r>
      <w:r>
        <w:rPr>
          <w:spacing w:val="-2"/>
        </w:rPr>
        <w:t>Datenräume</w:t>
      </w:r>
      <w:r>
        <w:rPr>
          <w:spacing w:val="-3"/>
        </w:rPr>
        <w:t xml:space="preserve"> </w:t>
      </w:r>
      <w:r>
        <w:rPr>
          <w:spacing w:val="-2"/>
        </w:rPr>
        <w:t>zu</w:t>
      </w:r>
      <w:r>
        <w:rPr>
          <w:spacing w:val="-3"/>
        </w:rPr>
        <w:t xml:space="preserve"> </w:t>
      </w:r>
      <w:r>
        <w:rPr>
          <w:spacing w:val="-2"/>
        </w:rPr>
        <w:t>schaffen</w:t>
      </w:r>
      <w:r>
        <w:rPr>
          <w:spacing w:val="-3"/>
        </w:rPr>
        <w:t xml:space="preserve"> </w:t>
      </w:r>
      <w:r>
        <w:rPr>
          <w:spacing w:val="-2"/>
        </w:rPr>
        <w:t xml:space="preserve">und </w:t>
      </w:r>
      <w:r>
        <w:t>zu</w:t>
      </w:r>
      <w:r>
        <w:rPr>
          <w:spacing w:val="-2"/>
        </w:rPr>
        <w:t xml:space="preserve"> </w:t>
      </w:r>
      <w:r>
        <w:t>verbinden</w:t>
      </w:r>
      <w:r>
        <w:rPr>
          <w:spacing w:val="-2"/>
        </w:rPr>
        <w:t xml:space="preserve"> </w:t>
      </w:r>
      <w:r>
        <w:t>ist</w:t>
      </w:r>
      <w:r>
        <w:rPr>
          <w:spacing w:val="-2"/>
        </w:rPr>
        <w:t xml:space="preserve"> </w:t>
      </w:r>
      <w:r>
        <w:t>entscheidend</w:t>
      </w:r>
      <w:r>
        <w:rPr>
          <w:spacing w:val="-2"/>
        </w:rPr>
        <w:t xml:space="preserve"> </w:t>
      </w:r>
      <w:r>
        <w:t>für</w:t>
      </w:r>
      <w:r>
        <w:rPr>
          <w:spacing w:val="-2"/>
        </w:rPr>
        <w:t xml:space="preserve"> </w:t>
      </w:r>
      <w:r>
        <w:t>das</w:t>
      </w:r>
      <w:r>
        <w:rPr>
          <w:spacing w:val="-2"/>
        </w:rPr>
        <w:t xml:space="preserve"> </w:t>
      </w:r>
      <w:r>
        <w:t>Gelingen</w:t>
      </w:r>
      <w:r>
        <w:rPr>
          <w:spacing w:val="-2"/>
        </w:rPr>
        <w:t xml:space="preserve"> </w:t>
      </w:r>
      <w:r>
        <w:t>der</w:t>
      </w:r>
      <w:r>
        <w:rPr>
          <w:spacing w:val="-2"/>
        </w:rPr>
        <w:t xml:space="preserve"> </w:t>
      </w:r>
      <w:r>
        <w:t>industriellen</w:t>
      </w:r>
      <w:r>
        <w:rPr>
          <w:spacing w:val="-2"/>
        </w:rPr>
        <w:t xml:space="preserve"> </w:t>
      </w:r>
      <w:r>
        <w:t>Transformation.</w:t>
      </w:r>
      <w:r>
        <w:rPr>
          <w:spacing w:val="-2"/>
        </w:rPr>
        <w:t xml:space="preserve"> </w:t>
      </w:r>
      <w:r>
        <w:t>Das</w:t>
      </w:r>
      <w:r>
        <w:rPr>
          <w:spacing w:val="-2"/>
        </w:rPr>
        <w:t xml:space="preserve"> </w:t>
      </w:r>
      <w:r>
        <w:t>ist</w:t>
      </w:r>
      <w:r>
        <w:rPr>
          <w:spacing w:val="-2"/>
        </w:rPr>
        <w:t xml:space="preserve"> </w:t>
      </w:r>
      <w:r>
        <w:t>unsere</w:t>
      </w:r>
      <w:r>
        <w:rPr>
          <w:spacing w:val="-2"/>
        </w:rPr>
        <w:t xml:space="preserve"> </w:t>
      </w:r>
      <w:r>
        <w:t>Kompetenz.</w:t>
      </w:r>
    </w:p>
    <w:p w14:paraId="4E677580" w14:textId="77777777" w:rsidR="00493580" w:rsidRDefault="00493580" w:rsidP="00D80B69">
      <w:pPr>
        <w:pStyle w:val="Unternehmensportrait"/>
        <w:jc w:val="left"/>
      </w:pPr>
    </w:p>
    <w:p w14:paraId="4D26D627" w14:textId="49E41787" w:rsidR="006C7EF7" w:rsidRDefault="006C7EF7" w:rsidP="00D80B69">
      <w:pPr>
        <w:pStyle w:val="Unternehmensportrait"/>
        <w:jc w:val="left"/>
      </w:pPr>
      <w:r>
        <w:t>Eplan und Rittal treiben den Aufbau des Digitalen Zwillings von Maschinen und Anlagen voran und machen die Daten im Betrieb nutzbar. Cideon steigert die Datendurchgängigkeit rund um den digitalen Produktzwilling</w:t>
      </w:r>
      <w:r>
        <w:rPr>
          <w:spacing w:val="27"/>
        </w:rPr>
        <w:t xml:space="preserve"> </w:t>
      </w:r>
      <w:r>
        <w:t>mit</w:t>
      </w:r>
      <w:r>
        <w:rPr>
          <w:spacing w:val="27"/>
        </w:rPr>
        <w:t xml:space="preserve"> </w:t>
      </w:r>
      <w:r>
        <w:t>Expertise</w:t>
      </w:r>
      <w:r>
        <w:rPr>
          <w:spacing w:val="27"/>
        </w:rPr>
        <w:t xml:space="preserve"> </w:t>
      </w:r>
      <w:r>
        <w:t>in</w:t>
      </w:r>
      <w:r>
        <w:rPr>
          <w:spacing w:val="27"/>
        </w:rPr>
        <w:t xml:space="preserve"> </w:t>
      </w:r>
      <w:r>
        <w:t>CAD/CAM,</w:t>
      </w:r>
      <w:r>
        <w:rPr>
          <w:spacing w:val="27"/>
        </w:rPr>
        <w:t xml:space="preserve"> </w:t>
      </w:r>
      <w:r>
        <w:t>PDM/PLM</w:t>
      </w:r>
      <w:r>
        <w:rPr>
          <w:spacing w:val="27"/>
        </w:rPr>
        <w:t xml:space="preserve"> </w:t>
      </w:r>
      <w:r>
        <w:t>und</w:t>
      </w:r>
      <w:r>
        <w:rPr>
          <w:spacing w:val="27"/>
        </w:rPr>
        <w:t xml:space="preserve"> </w:t>
      </w:r>
      <w:r>
        <w:t>Produktkonfiguration.</w:t>
      </w:r>
    </w:p>
    <w:p w14:paraId="65F2789F" w14:textId="77777777" w:rsidR="006C7EF7" w:rsidRDefault="006C7EF7" w:rsidP="00D80B69">
      <w:pPr>
        <w:pStyle w:val="Unternehmensportrait-H2"/>
      </w:pPr>
      <w:r>
        <w:t>Nachhaltigkeit</w:t>
      </w:r>
    </w:p>
    <w:p w14:paraId="220A5F87" w14:textId="77777777" w:rsidR="006C7EF7" w:rsidRDefault="006C7EF7" w:rsidP="00D80B69">
      <w:pPr>
        <w:pStyle w:val="Unternehmensportrait"/>
        <w:jc w:val="left"/>
      </w:pPr>
      <w:r>
        <w:t>Umwelt- und Klimaschutz, soziales Engagement und ethische Unternehmensführung sind für Rittal selbstverständlich. Wir nehmen unsere Verantwortung für eine nachhaltige Zukunft ernst. Unser Ansatz zur Ressourcenschonung umfasst die Optimierung der eigenen Produktionsprozesse, einen möglichst niedrigen Product Carbon Footprint unserer Produkte sowie Lösungen, die unsere Kunden in der Erreichung ihrer Klimaziele unterstützen.</w:t>
      </w:r>
    </w:p>
    <w:p w14:paraId="02FF89E0" w14:textId="77777777" w:rsidR="006C7EF7" w:rsidRDefault="006C7EF7" w:rsidP="00D80B69">
      <w:pPr>
        <w:pStyle w:val="Unternehmensportrait-H2"/>
        <w:rPr>
          <w:spacing w:val="-2"/>
        </w:rPr>
      </w:pPr>
      <w:r>
        <w:t>Familienunternehmen</w:t>
      </w:r>
      <w:r>
        <w:rPr>
          <w:spacing w:val="18"/>
        </w:rPr>
        <w:t xml:space="preserve"> </w:t>
      </w:r>
      <w:r>
        <w:t>und</w:t>
      </w:r>
      <w:r>
        <w:rPr>
          <w:spacing w:val="18"/>
        </w:rPr>
        <w:t xml:space="preserve"> </w:t>
      </w:r>
      <w:r>
        <w:t>Global</w:t>
      </w:r>
      <w:r>
        <w:rPr>
          <w:spacing w:val="18"/>
        </w:rPr>
        <w:t xml:space="preserve"> </w:t>
      </w:r>
      <w:r>
        <w:rPr>
          <w:spacing w:val="-2"/>
        </w:rPr>
        <w:t>Player</w:t>
      </w:r>
    </w:p>
    <w:p w14:paraId="205902F6" w14:textId="0EF81D82" w:rsidR="006C7EF7" w:rsidRDefault="006C7EF7" w:rsidP="00D80B69">
      <w:pPr>
        <w:pStyle w:val="Unternehmensportrait"/>
        <w:jc w:val="left"/>
      </w:pPr>
      <w:r>
        <w:t>Rittal wurde im Jahr 1961 gegründet und ist das größte Unternehmen der inhabergeführten Friedhelm Loh Group. Die Unternehmensgruppe ist mit 1</w:t>
      </w:r>
      <w:r w:rsidR="009E0ED8">
        <w:t>3</w:t>
      </w:r>
      <w:r>
        <w:t xml:space="preserve"> Produktionsstätten und 95 Tochtergesellschaften international erfolgreich. Das Familienunternehmen beschäftigt 12.</w:t>
      </w:r>
      <w:r w:rsidR="009E0ED8">
        <w:t>6</w:t>
      </w:r>
      <w:r>
        <w:t>00 Mitarbeiter und erzielte im Jahr 202</w:t>
      </w:r>
      <w:r w:rsidR="009E0ED8">
        <w:t>4</w:t>
      </w:r>
      <w:r>
        <w:t xml:space="preserve"> einen Umsatz von 3</w:t>
      </w:r>
      <w:r w:rsidR="009E0ED8">
        <w:t>,1</w:t>
      </w:r>
      <w:r>
        <w:t xml:space="preserve"> Milliarden Euro. 2023 wurde die Friedhelm Loh Group als „Best Place to Learn“ und „Arbeitgeber der Zukunft“ ausgezeichnet. Rittal erhielt</w:t>
      </w:r>
      <w:r w:rsidR="004305EE">
        <w:t xml:space="preserve"> 202</w:t>
      </w:r>
      <w:r w:rsidR="009E0ED8">
        <w:t>5</w:t>
      </w:r>
      <w:r w:rsidR="004305EE">
        <w:t xml:space="preserve"> zum </w:t>
      </w:r>
      <w:r w:rsidR="009E0ED8">
        <w:t>vierten</w:t>
      </w:r>
      <w:r w:rsidR="004305EE">
        <w:t xml:space="preserve"> Mal in Folge</w:t>
      </w:r>
      <w:r>
        <w:t xml:space="preserve"> das Top 100-Siegel als eines der innovativsten mittelständischen Unternehmen in Deutschland.</w:t>
      </w:r>
    </w:p>
    <w:p w14:paraId="11D34DC5" w14:textId="77777777" w:rsidR="006C7EF7" w:rsidRDefault="006C7EF7" w:rsidP="00D80B69">
      <w:pPr>
        <w:pStyle w:val="Unternehmensportrait"/>
        <w:jc w:val="left"/>
      </w:pPr>
    </w:p>
    <w:p w14:paraId="725B4419" w14:textId="77777777" w:rsidR="006C7EF7" w:rsidRDefault="006C7EF7" w:rsidP="00D80B69">
      <w:pPr>
        <w:pStyle w:val="Unternehmensportrait"/>
        <w:jc w:val="left"/>
        <w:rPr>
          <w:spacing w:val="-2"/>
        </w:rPr>
      </w:pPr>
      <w:r>
        <w:t>Weitere</w:t>
      </w:r>
      <w:r>
        <w:rPr>
          <w:spacing w:val="16"/>
        </w:rPr>
        <w:t xml:space="preserve"> </w:t>
      </w:r>
      <w:r>
        <w:t>Informationen</w:t>
      </w:r>
      <w:r>
        <w:rPr>
          <w:spacing w:val="19"/>
        </w:rPr>
        <w:t xml:space="preserve"> </w:t>
      </w:r>
      <w:r>
        <w:t>finden</w:t>
      </w:r>
      <w:r>
        <w:rPr>
          <w:spacing w:val="18"/>
        </w:rPr>
        <w:t xml:space="preserve"> </w:t>
      </w:r>
      <w:r>
        <w:t>Sie</w:t>
      </w:r>
      <w:r>
        <w:rPr>
          <w:spacing w:val="19"/>
        </w:rPr>
        <w:t xml:space="preserve"> </w:t>
      </w:r>
      <w:r>
        <w:t>unter</w:t>
      </w:r>
      <w:r>
        <w:rPr>
          <w:spacing w:val="18"/>
        </w:rPr>
        <w:t xml:space="preserve"> </w:t>
      </w:r>
      <w:r>
        <w:t>www.rittal.de</w:t>
      </w:r>
      <w:r>
        <w:rPr>
          <w:spacing w:val="19"/>
        </w:rPr>
        <w:t xml:space="preserve"> </w:t>
      </w:r>
      <w:r>
        <w:t>und</w:t>
      </w:r>
      <w:r>
        <w:rPr>
          <w:spacing w:val="19"/>
        </w:rPr>
        <w:t xml:space="preserve"> </w:t>
      </w:r>
      <w:r>
        <w:t>www.friedhelm-loh-</w:t>
      </w:r>
      <w:r>
        <w:rPr>
          <w:spacing w:val="-2"/>
        </w:rPr>
        <w:t>group.de.</w:t>
      </w:r>
    </w:p>
    <w:p w14:paraId="32506280" w14:textId="77777777" w:rsidR="0030636B" w:rsidRPr="00DA78A6" w:rsidRDefault="0030636B" w:rsidP="00D80B69">
      <w:pPr>
        <w:pStyle w:val="Unternehmensportrait-Linie"/>
      </w:pPr>
    </w:p>
    <w:p w14:paraId="50DFA63C" w14:textId="77777777" w:rsidR="0030636B" w:rsidRPr="000E7A2C" w:rsidRDefault="0030636B" w:rsidP="00D80B69">
      <w:pPr>
        <w:pStyle w:val="Unternehmensportrait"/>
        <w:jc w:val="left"/>
      </w:pPr>
    </w:p>
    <w:p w14:paraId="2EF92E8E" w14:textId="77777777" w:rsidR="009E3CD4" w:rsidRPr="00681C6A" w:rsidRDefault="009E3CD4" w:rsidP="00D80B69">
      <w:pPr>
        <w:pStyle w:val="Unternehmenkommunikation"/>
        <w:jc w:val="left"/>
      </w:pPr>
      <w:r w:rsidRPr="00681C6A">
        <w:t>Unternehmenskommunikation</w:t>
      </w:r>
    </w:p>
    <w:p w14:paraId="287BC080" w14:textId="77777777" w:rsidR="009E3CD4" w:rsidRPr="008E3C61" w:rsidRDefault="009E3CD4" w:rsidP="00D80B69">
      <w:pPr>
        <w:pStyle w:val="Unternehmenkommunikation"/>
        <w:jc w:val="left"/>
      </w:pPr>
      <w:r w:rsidRPr="008E3C61">
        <w:t>Dr. Carola Hilbrand</w:t>
      </w:r>
      <w:r w:rsidRPr="008E3C61">
        <w:tab/>
        <w:t>Rittal GmbH &amp; Co. KG</w:t>
      </w:r>
    </w:p>
    <w:p w14:paraId="2E94A9D8" w14:textId="77777777" w:rsidR="009E3CD4" w:rsidRPr="00681C6A" w:rsidRDefault="009E3CD4" w:rsidP="00D80B69">
      <w:pPr>
        <w:pStyle w:val="Unternehmenkommunikation"/>
        <w:jc w:val="left"/>
      </w:pPr>
      <w:r>
        <w:t>Corporate</w:t>
      </w:r>
      <w:r w:rsidRPr="00681C6A">
        <w:t xml:space="preserve"> &amp; Brand Communications</w:t>
      </w:r>
      <w:r w:rsidRPr="00681C6A">
        <w:tab/>
        <w:t>Auf dem Stützelberg</w:t>
      </w:r>
    </w:p>
    <w:p w14:paraId="184497EA" w14:textId="77777777" w:rsidR="009E3CD4" w:rsidRPr="00681C6A" w:rsidRDefault="009E3CD4" w:rsidP="00D80B69">
      <w:pPr>
        <w:pStyle w:val="Unternehmenkommunikation"/>
        <w:jc w:val="left"/>
      </w:pPr>
      <w:r w:rsidRPr="00681C6A">
        <w:t>Tel.: 02772/505-2</w:t>
      </w:r>
      <w:r>
        <w:t>527</w:t>
      </w:r>
      <w:r w:rsidRPr="00681C6A">
        <w:tab/>
        <w:t>35745 Herborn</w:t>
      </w:r>
    </w:p>
    <w:p w14:paraId="23C744BD" w14:textId="3B270A51" w:rsidR="001E046B" w:rsidRPr="000874C6" w:rsidRDefault="009E3CD4" w:rsidP="000874C6">
      <w:pPr>
        <w:pStyle w:val="Unternehmenkommunikation"/>
        <w:jc w:val="left"/>
        <w:rPr>
          <w:color w:val="auto"/>
        </w:rPr>
      </w:pPr>
      <w:r>
        <w:t>hilbrand</w:t>
      </w:r>
      <w:r w:rsidRPr="00681C6A">
        <w:t>.</w:t>
      </w:r>
      <w:r>
        <w:t>c</w:t>
      </w:r>
      <w:r w:rsidRPr="00681C6A">
        <w:t>@rittal.de</w:t>
      </w:r>
      <w:r w:rsidRPr="00681C6A">
        <w:tab/>
      </w:r>
      <w:hyperlink r:id="rId10" w:history="1">
        <w:r w:rsidRPr="006F5E94">
          <w:rPr>
            <w:rStyle w:val="Hyperlink"/>
            <w:color w:val="auto"/>
            <w:u w:val="none"/>
          </w:rPr>
          <w:t>www.rittal.de</w:t>
        </w:r>
      </w:hyperlink>
    </w:p>
    <w:p w14:paraId="39763639" w14:textId="3A613D1E" w:rsidR="00A73C13" w:rsidRDefault="00A73C13" w:rsidP="00D80B69">
      <w:pPr>
        <w:pStyle w:val="Unternehmenkommunikation"/>
        <w:jc w:val="left"/>
      </w:pPr>
    </w:p>
    <w:sectPr w:rsidR="00A73C13" w:rsidSect="002016FD">
      <w:headerReference w:type="default" r:id="rId11"/>
      <w:footerReference w:type="default" r:id="rId12"/>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F9293" w14:textId="77777777" w:rsidR="00B46782" w:rsidRDefault="00B46782" w:rsidP="00C437B6">
      <w:r>
        <w:separator/>
      </w:r>
    </w:p>
  </w:endnote>
  <w:endnote w:type="continuationSeparator" w:id="0">
    <w:p w14:paraId="19BA01CF" w14:textId="77777777" w:rsidR="00B46782" w:rsidRDefault="00B46782"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567F" w14:textId="77777777" w:rsidR="00202595" w:rsidRDefault="006270D1">
    <w:pPr>
      <w:pStyle w:val="Fuzeile"/>
    </w:pPr>
    <w:r w:rsidRPr="006270D1">
      <w:rPr>
        <w:noProof/>
      </w:rPr>
      <w:drawing>
        <wp:anchor distT="0" distB="0" distL="0" distR="0" simplePos="0" relativeHeight="251657728" behindDoc="0" locked="0" layoutInCell="1" allowOverlap="0" wp14:anchorId="370ED1DB" wp14:editId="4E95934D">
          <wp:simplePos x="0" y="0"/>
          <wp:positionH relativeFrom="margin">
            <wp:posOffset>-970691</wp:posOffset>
          </wp:positionH>
          <wp:positionV relativeFrom="topMargin">
            <wp:posOffset>9789459</wp:posOffset>
          </wp:positionV>
          <wp:extent cx="7771280" cy="582706"/>
          <wp:effectExtent l="19050" t="0" r="0" b="0"/>
          <wp:wrapThrough wrapText="bothSides">
            <wp:wrapPolygon edited="0">
              <wp:start x="-53" y="0"/>
              <wp:lineTo x="-53" y="21214"/>
              <wp:lineTo x="21595" y="21214"/>
              <wp:lineTo x="21595" y="0"/>
              <wp:lineTo x="-53" y="0"/>
            </wp:wrapPolygon>
          </wp:wrapThrough>
          <wp:docPr id="29" name="Grafik 6" descr="R_Stationery_BGw_GER_4c_FL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tationery_BGw_GER_4c_FLG.wmf"/>
                  <pic:cNvPicPr/>
                </pic:nvPicPr>
                <pic:blipFill>
                  <a:blip r:embed="rId1"/>
                  <a:stretch>
                    <a:fillRect/>
                  </a:stretch>
                </pic:blipFill>
                <pic:spPr>
                  <a:xfrm>
                    <a:off x="0" y="0"/>
                    <a:ext cx="7773670" cy="5816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3EC34" w14:textId="77777777" w:rsidR="00B46782" w:rsidRDefault="00B46782" w:rsidP="00C437B6">
      <w:r>
        <w:separator/>
      </w:r>
    </w:p>
  </w:footnote>
  <w:footnote w:type="continuationSeparator" w:id="0">
    <w:p w14:paraId="0BF7A605" w14:textId="77777777" w:rsidR="00B46782" w:rsidRDefault="00B46782"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FF3A" w14:textId="6D523F1E" w:rsidR="00202595" w:rsidRDefault="0011102D">
    <w:pPr>
      <w:kinsoku w:val="0"/>
      <w:overflowPunct w:val="0"/>
      <w:spacing w:line="14" w:lineRule="auto"/>
      <w:rPr>
        <w:rFonts w:ascii="Times New Roman" w:hAnsi="Times New Roman" w:cs="Times New Roman"/>
        <w:sz w:val="20"/>
        <w:szCs w:val="20"/>
      </w:rPr>
    </w:pPr>
    <w:r w:rsidRPr="0011102D">
      <w:rPr>
        <w:rFonts w:ascii="Times New Roman" w:hAnsi="Times New Roman" w:cs="Times New Roman"/>
        <w:noProof/>
        <w:sz w:val="20"/>
        <w:szCs w:val="20"/>
      </w:rPr>
      <w:drawing>
        <wp:anchor distT="0" distB="0" distL="114300" distR="114300" simplePos="0" relativeHeight="251656704" behindDoc="1" locked="0" layoutInCell="1" allowOverlap="1" wp14:anchorId="4C9886F2" wp14:editId="127DD8DE">
          <wp:simplePos x="0" y="0"/>
          <wp:positionH relativeFrom="page">
            <wp:posOffset>6409055</wp:posOffset>
          </wp:positionH>
          <wp:positionV relativeFrom="page">
            <wp:posOffset>507365</wp:posOffset>
          </wp:positionV>
          <wp:extent cx="635000" cy="914400"/>
          <wp:effectExtent l="19050" t="0" r="0" b="0"/>
          <wp:wrapThrough wrapText="bothSides">
            <wp:wrapPolygon edited="0">
              <wp:start x="-648" y="0"/>
              <wp:lineTo x="-648" y="21150"/>
              <wp:lineTo x="21384" y="21150"/>
              <wp:lineTo x="21384" y="0"/>
              <wp:lineTo x="-648" y="0"/>
            </wp:wrapPolygon>
          </wp:wrapThrough>
          <wp:docPr id="11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1"/>
                  <a:srcRect/>
                  <a:stretch>
                    <a:fillRect/>
                  </a:stretch>
                </pic:blipFill>
                <pic:spPr bwMode="auto">
                  <a:xfrm>
                    <a:off x="0" y="0"/>
                    <a:ext cx="635000" cy="914400"/>
                  </a:xfrm>
                  <a:prstGeom prst="rect">
                    <a:avLst/>
                  </a:prstGeom>
                  <a:noFill/>
                  <a:ln w="9525">
                    <a:noFill/>
                    <a:miter lim="800000"/>
                    <a:headEnd/>
                    <a:tailEnd/>
                  </a:ln>
                </pic:spPr>
              </pic:pic>
            </a:graphicData>
          </a:graphic>
        </wp:anchor>
      </w:drawing>
    </w:r>
    <w:r w:rsidR="006355CA">
      <w:rPr>
        <w:noProof/>
        <w:sz w:val="16"/>
        <w:szCs w:val="16"/>
      </w:rPr>
      <mc:AlternateContent>
        <mc:Choice Requires="wps">
          <w:drawing>
            <wp:anchor distT="0" distB="0" distL="114300" distR="114300" simplePos="0" relativeHeight="251658752" behindDoc="1" locked="0" layoutInCell="0" allowOverlap="1" wp14:anchorId="00F58628" wp14:editId="10C4EA03">
              <wp:simplePos x="0" y="0"/>
              <wp:positionH relativeFrom="page">
                <wp:posOffset>864235</wp:posOffset>
              </wp:positionH>
              <wp:positionV relativeFrom="page">
                <wp:posOffset>449580</wp:posOffset>
              </wp:positionV>
              <wp:extent cx="1485900" cy="351790"/>
              <wp:effectExtent l="0" t="1905" r="2540" b="0"/>
              <wp:wrapNone/>
              <wp:docPr id="7252818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DB85"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58628"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5B40DB85"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726951082">
    <w:abstractNumId w:val="10"/>
  </w:num>
  <w:num w:numId="2" w16cid:durableId="2005426273">
    <w:abstractNumId w:val="9"/>
  </w:num>
  <w:num w:numId="3" w16cid:durableId="1256984404">
    <w:abstractNumId w:val="7"/>
  </w:num>
  <w:num w:numId="4" w16cid:durableId="1265964965">
    <w:abstractNumId w:val="6"/>
  </w:num>
  <w:num w:numId="5" w16cid:durableId="1576281030">
    <w:abstractNumId w:val="5"/>
  </w:num>
  <w:num w:numId="6" w16cid:durableId="745614244">
    <w:abstractNumId w:val="4"/>
  </w:num>
  <w:num w:numId="7" w16cid:durableId="215898273">
    <w:abstractNumId w:val="8"/>
  </w:num>
  <w:num w:numId="8" w16cid:durableId="1673416183">
    <w:abstractNumId w:val="3"/>
  </w:num>
  <w:num w:numId="9" w16cid:durableId="1650481680">
    <w:abstractNumId w:val="2"/>
  </w:num>
  <w:num w:numId="10" w16cid:durableId="1142387273">
    <w:abstractNumId w:val="1"/>
  </w:num>
  <w:num w:numId="11" w16cid:durableId="587083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02250"/>
    <w:rsid w:val="00015A61"/>
    <w:rsid w:val="00022489"/>
    <w:rsid w:val="0002398F"/>
    <w:rsid w:val="00027B50"/>
    <w:rsid w:val="00034685"/>
    <w:rsid w:val="00037FD6"/>
    <w:rsid w:val="00047B15"/>
    <w:rsid w:val="00052DD2"/>
    <w:rsid w:val="000747FD"/>
    <w:rsid w:val="00080930"/>
    <w:rsid w:val="000874C6"/>
    <w:rsid w:val="000902CE"/>
    <w:rsid w:val="000A7A8B"/>
    <w:rsid w:val="000B1231"/>
    <w:rsid w:val="000D044A"/>
    <w:rsid w:val="000E6CF9"/>
    <w:rsid w:val="000E7A2C"/>
    <w:rsid w:val="0011102D"/>
    <w:rsid w:val="00114302"/>
    <w:rsid w:val="00145F70"/>
    <w:rsid w:val="001519D2"/>
    <w:rsid w:val="001B189F"/>
    <w:rsid w:val="001B7268"/>
    <w:rsid w:val="001B7401"/>
    <w:rsid w:val="001D555B"/>
    <w:rsid w:val="001D6722"/>
    <w:rsid w:val="001E046B"/>
    <w:rsid w:val="001E78D8"/>
    <w:rsid w:val="002016FD"/>
    <w:rsid w:val="00202595"/>
    <w:rsid w:val="0023718F"/>
    <w:rsid w:val="002616F5"/>
    <w:rsid w:val="00274BBB"/>
    <w:rsid w:val="002B317F"/>
    <w:rsid w:val="002C00E6"/>
    <w:rsid w:val="002C6615"/>
    <w:rsid w:val="002D2830"/>
    <w:rsid w:val="002E1F7F"/>
    <w:rsid w:val="002F0154"/>
    <w:rsid w:val="0030636B"/>
    <w:rsid w:val="0031514E"/>
    <w:rsid w:val="00346E63"/>
    <w:rsid w:val="00367B14"/>
    <w:rsid w:val="00397E80"/>
    <w:rsid w:val="003A7EAF"/>
    <w:rsid w:val="003B10AB"/>
    <w:rsid w:val="003B413C"/>
    <w:rsid w:val="003C464D"/>
    <w:rsid w:val="00420610"/>
    <w:rsid w:val="00424077"/>
    <w:rsid w:val="0042557E"/>
    <w:rsid w:val="004305EE"/>
    <w:rsid w:val="00431D28"/>
    <w:rsid w:val="0043776F"/>
    <w:rsid w:val="00445DA2"/>
    <w:rsid w:val="00454741"/>
    <w:rsid w:val="00455B4F"/>
    <w:rsid w:val="00456F1A"/>
    <w:rsid w:val="004643E3"/>
    <w:rsid w:val="004845A9"/>
    <w:rsid w:val="004860F9"/>
    <w:rsid w:val="00486A98"/>
    <w:rsid w:val="0049297D"/>
    <w:rsid w:val="00493580"/>
    <w:rsid w:val="004C1959"/>
    <w:rsid w:val="004D56BD"/>
    <w:rsid w:val="004F229F"/>
    <w:rsid w:val="00512F78"/>
    <w:rsid w:val="00513BB5"/>
    <w:rsid w:val="005467FA"/>
    <w:rsid w:val="0055018D"/>
    <w:rsid w:val="00556081"/>
    <w:rsid w:val="0057573C"/>
    <w:rsid w:val="00584C14"/>
    <w:rsid w:val="00597790"/>
    <w:rsid w:val="005C5C83"/>
    <w:rsid w:val="005D33D3"/>
    <w:rsid w:val="005D45CA"/>
    <w:rsid w:val="005D7486"/>
    <w:rsid w:val="005F47D3"/>
    <w:rsid w:val="006104AB"/>
    <w:rsid w:val="00613397"/>
    <w:rsid w:val="00624C1E"/>
    <w:rsid w:val="006270D1"/>
    <w:rsid w:val="006306F2"/>
    <w:rsid w:val="006355CA"/>
    <w:rsid w:val="006467B0"/>
    <w:rsid w:val="00650E38"/>
    <w:rsid w:val="00654F16"/>
    <w:rsid w:val="00681629"/>
    <w:rsid w:val="00681C6A"/>
    <w:rsid w:val="006A2213"/>
    <w:rsid w:val="006B1DAE"/>
    <w:rsid w:val="006C0224"/>
    <w:rsid w:val="006C2B8D"/>
    <w:rsid w:val="006C6990"/>
    <w:rsid w:val="006C7EF7"/>
    <w:rsid w:val="006D5EAA"/>
    <w:rsid w:val="006D7C2C"/>
    <w:rsid w:val="00701182"/>
    <w:rsid w:val="0072098D"/>
    <w:rsid w:val="007315EA"/>
    <w:rsid w:val="00732900"/>
    <w:rsid w:val="007379AB"/>
    <w:rsid w:val="007568B6"/>
    <w:rsid w:val="00760BC1"/>
    <w:rsid w:val="00784E4B"/>
    <w:rsid w:val="007C2C27"/>
    <w:rsid w:val="007C2DF6"/>
    <w:rsid w:val="007D38D6"/>
    <w:rsid w:val="007D48CE"/>
    <w:rsid w:val="007D60A7"/>
    <w:rsid w:val="007D7AE2"/>
    <w:rsid w:val="00801528"/>
    <w:rsid w:val="00805E8F"/>
    <w:rsid w:val="00860229"/>
    <w:rsid w:val="00886E96"/>
    <w:rsid w:val="00895E52"/>
    <w:rsid w:val="009058E3"/>
    <w:rsid w:val="00916678"/>
    <w:rsid w:val="00947C4F"/>
    <w:rsid w:val="00996B25"/>
    <w:rsid w:val="009A0F9D"/>
    <w:rsid w:val="009D411D"/>
    <w:rsid w:val="009D709C"/>
    <w:rsid w:val="009E0DC3"/>
    <w:rsid w:val="009E0ED8"/>
    <w:rsid w:val="009E3CD4"/>
    <w:rsid w:val="009E4D10"/>
    <w:rsid w:val="009F3123"/>
    <w:rsid w:val="00A0608C"/>
    <w:rsid w:val="00A11F3F"/>
    <w:rsid w:val="00A20172"/>
    <w:rsid w:val="00A23870"/>
    <w:rsid w:val="00A41BF6"/>
    <w:rsid w:val="00A475E2"/>
    <w:rsid w:val="00A51035"/>
    <w:rsid w:val="00A51E5F"/>
    <w:rsid w:val="00A66242"/>
    <w:rsid w:val="00A71BED"/>
    <w:rsid w:val="00A73C13"/>
    <w:rsid w:val="00A90FC3"/>
    <w:rsid w:val="00A942E9"/>
    <w:rsid w:val="00AA6A2B"/>
    <w:rsid w:val="00AB5D36"/>
    <w:rsid w:val="00AC391D"/>
    <w:rsid w:val="00AC6AC3"/>
    <w:rsid w:val="00AD5C77"/>
    <w:rsid w:val="00B005E4"/>
    <w:rsid w:val="00B1551B"/>
    <w:rsid w:val="00B234F0"/>
    <w:rsid w:val="00B23C95"/>
    <w:rsid w:val="00B317B0"/>
    <w:rsid w:val="00B42CC3"/>
    <w:rsid w:val="00B46782"/>
    <w:rsid w:val="00B5087C"/>
    <w:rsid w:val="00B70890"/>
    <w:rsid w:val="00B7220D"/>
    <w:rsid w:val="00B73C40"/>
    <w:rsid w:val="00B75E7A"/>
    <w:rsid w:val="00B921A4"/>
    <w:rsid w:val="00B9325B"/>
    <w:rsid w:val="00BD1E6B"/>
    <w:rsid w:val="00C0410E"/>
    <w:rsid w:val="00C31D64"/>
    <w:rsid w:val="00C40907"/>
    <w:rsid w:val="00C437B6"/>
    <w:rsid w:val="00C707D4"/>
    <w:rsid w:val="00C7714F"/>
    <w:rsid w:val="00C85246"/>
    <w:rsid w:val="00C86B95"/>
    <w:rsid w:val="00C933FC"/>
    <w:rsid w:val="00C94E81"/>
    <w:rsid w:val="00C9738B"/>
    <w:rsid w:val="00CA28D3"/>
    <w:rsid w:val="00CB1B61"/>
    <w:rsid w:val="00CC229D"/>
    <w:rsid w:val="00CC3274"/>
    <w:rsid w:val="00CC57AA"/>
    <w:rsid w:val="00CD7C6C"/>
    <w:rsid w:val="00CF7702"/>
    <w:rsid w:val="00D02577"/>
    <w:rsid w:val="00D02D5B"/>
    <w:rsid w:val="00D109A1"/>
    <w:rsid w:val="00D205F9"/>
    <w:rsid w:val="00D2409E"/>
    <w:rsid w:val="00D31B48"/>
    <w:rsid w:val="00D52670"/>
    <w:rsid w:val="00D614F5"/>
    <w:rsid w:val="00D80B69"/>
    <w:rsid w:val="00D92FEF"/>
    <w:rsid w:val="00D947D4"/>
    <w:rsid w:val="00DA0AC1"/>
    <w:rsid w:val="00DA78A6"/>
    <w:rsid w:val="00DC7953"/>
    <w:rsid w:val="00DC7BEC"/>
    <w:rsid w:val="00DD48DF"/>
    <w:rsid w:val="00DF3CF6"/>
    <w:rsid w:val="00E02D8D"/>
    <w:rsid w:val="00E4221A"/>
    <w:rsid w:val="00E4364C"/>
    <w:rsid w:val="00E43B92"/>
    <w:rsid w:val="00E46942"/>
    <w:rsid w:val="00EB1ED8"/>
    <w:rsid w:val="00EB76F3"/>
    <w:rsid w:val="00ED3D20"/>
    <w:rsid w:val="00EE2E8D"/>
    <w:rsid w:val="00EE437A"/>
    <w:rsid w:val="00EF0418"/>
    <w:rsid w:val="00F27F6A"/>
    <w:rsid w:val="00F34793"/>
    <w:rsid w:val="00F46C85"/>
    <w:rsid w:val="00F53B77"/>
    <w:rsid w:val="00F56180"/>
    <w:rsid w:val="00F61379"/>
    <w:rsid w:val="00F8027E"/>
    <w:rsid w:val="00F826D2"/>
    <w:rsid w:val="00F90071"/>
    <w:rsid w:val="00F90E37"/>
    <w:rsid w:val="00F95705"/>
    <w:rsid w:val="00F96A2B"/>
    <w:rsid w:val="00FA4CD5"/>
    <w:rsid w:val="00FB1403"/>
    <w:rsid w:val="00FB4082"/>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EF2DCC"/>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semiHidden/>
    <w:unhideWhenUsed/>
    <w:rsid w:val="00650E38"/>
    <w:pPr>
      <w:tabs>
        <w:tab w:val="center" w:pos="4536"/>
        <w:tab w:val="right" w:pos="9072"/>
      </w:tabs>
    </w:pPr>
  </w:style>
  <w:style w:type="character" w:customStyle="1" w:styleId="KopfzeileZchn">
    <w:name w:val="Kopfzeile Zchn"/>
    <w:basedOn w:val="Absatz-Standardschriftart"/>
    <w:link w:val="Kopfzeile"/>
    <w:uiPriority w:val="99"/>
    <w:semiHidden/>
    <w:rsid w:val="00650E38"/>
    <w:rPr>
      <w:rFonts w:ascii="Arial" w:hAnsi="Arial" w:cs="Arial"/>
    </w:rPr>
  </w:style>
  <w:style w:type="paragraph" w:styleId="Fuzeile">
    <w:name w:val="footer"/>
    <w:basedOn w:val="Standard"/>
    <w:link w:val="FuzeileZchn"/>
    <w:uiPriority w:val="99"/>
    <w:semiHidden/>
    <w:unhideWhenUsed/>
    <w:rsid w:val="00650E38"/>
    <w:pPr>
      <w:tabs>
        <w:tab w:val="center" w:pos="4536"/>
        <w:tab w:val="right" w:pos="9072"/>
      </w:tabs>
    </w:pPr>
  </w:style>
  <w:style w:type="character" w:customStyle="1" w:styleId="FuzeileZchn">
    <w:name w:val="Fußzeile Zchn"/>
    <w:basedOn w:val="Absatz-Standardschriftart"/>
    <w:link w:val="Fuzeile"/>
    <w:uiPriority w:val="99"/>
    <w:semiHidden/>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0A7A8B"/>
    <w:rPr>
      <w:color w:val="605E5C"/>
      <w:shd w:val="clear" w:color="auto" w:fill="E1DFDD"/>
    </w:rPr>
  </w:style>
  <w:style w:type="character" w:styleId="Kommentarzeichen">
    <w:name w:val="annotation reference"/>
    <w:basedOn w:val="Absatz-Standardschriftart"/>
    <w:uiPriority w:val="99"/>
    <w:semiHidden/>
    <w:unhideWhenUsed/>
    <w:rsid w:val="00B005E4"/>
    <w:rPr>
      <w:sz w:val="16"/>
      <w:szCs w:val="16"/>
    </w:rPr>
  </w:style>
  <w:style w:type="paragraph" w:styleId="Kommentartext">
    <w:name w:val="annotation text"/>
    <w:basedOn w:val="Standard"/>
    <w:link w:val="KommentartextZchn"/>
    <w:uiPriority w:val="99"/>
    <w:unhideWhenUsed/>
    <w:rsid w:val="00B005E4"/>
    <w:rPr>
      <w:sz w:val="20"/>
      <w:szCs w:val="20"/>
    </w:rPr>
  </w:style>
  <w:style w:type="character" w:customStyle="1" w:styleId="KommentartextZchn">
    <w:name w:val="Kommentartext Zchn"/>
    <w:basedOn w:val="Absatz-Standardschriftart"/>
    <w:link w:val="Kommentartext"/>
    <w:uiPriority w:val="99"/>
    <w:rsid w:val="00B005E4"/>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B005E4"/>
    <w:rPr>
      <w:b/>
      <w:bCs/>
    </w:rPr>
  </w:style>
  <w:style w:type="character" w:customStyle="1" w:styleId="KommentarthemaZchn">
    <w:name w:val="Kommentarthema Zchn"/>
    <w:basedOn w:val="KommentartextZchn"/>
    <w:link w:val="Kommentarthema"/>
    <w:uiPriority w:val="99"/>
    <w:semiHidden/>
    <w:rsid w:val="00B005E4"/>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749982">
      <w:bodyDiv w:val="1"/>
      <w:marLeft w:val="0"/>
      <w:marRight w:val="0"/>
      <w:marTop w:val="0"/>
      <w:marBottom w:val="0"/>
      <w:divBdr>
        <w:top w:val="none" w:sz="0" w:space="0" w:color="auto"/>
        <w:left w:val="none" w:sz="0" w:space="0" w:color="auto"/>
        <w:bottom w:val="none" w:sz="0" w:space="0" w:color="auto"/>
        <w:right w:val="none" w:sz="0" w:space="0" w:color="auto"/>
      </w:divBdr>
    </w:div>
    <w:div w:id="200743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ittal.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021A085-8F38-43AC-8DC6-F0F3EAC1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5895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Jannick Bangard</cp:lastModifiedBy>
  <cp:revision>4</cp:revision>
  <cp:lastPrinted>2025-11-07T16:28:00Z</cp:lastPrinted>
  <dcterms:created xsi:type="dcterms:W3CDTF">2025-11-07T17:04:00Z</dcterms:created>
  <dcterms:modified xsi:type="dcterms:W3CDTF">2025-11-10T09:45:00Z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64e29b7570e7e0f1bb3e64372e32ac4ec6662b6f2531cc3e681baccf8a7917c2</vt:lpwstr>
  </property>
  <property fmtid="{D5CDD505-2E9C-101B-9397-08002B2CF9AE}" pid="5" name="MSIP_Label_3a28a66c-3c7f-463f-9f3d-483220f1d838_Enabled">
    <vt:lpwstr>true</vt:lpwstr>
  </property>
  <property fmtid="{D5CDD505-2E9C-101B-9397-08002B2CF9AE}" pid="6" name="MSIP_Label_3a28a66c-3c7f-463f-9f3d-483220f1d838_SetDate">
    <vt:lpwstr>2025-11-05T14:10:53Z</vt:lpwstr>
  </property>
  <property fmtid="{D5CDD505-2E9C-101B-9397-08002B2CF9AE}" pid="7" name="MSIP_Label_3a28a66c-3c7f-463f-9f3d-483220f1d838_Method">
    <vt:lpwstr>Standard</vt:lpwstr>
  </property>
  <property fmtid="{D5CDD505-2E9C-101B-9397-08002B2CF9AE}" pid="8" name="MSIP_Label_3a28a66c-3c7f-463f-9f3d-483220f1d838_Name">
    <vt:lpwstr>FLG_Internal</vt:lpwstr>
  </property>
  <property fmtid="{D5CDD505-2E9C-101B-9397-08002B2CF9AE}" pid="9" name="MSIP_Label_3a28a66c-3c7f-463f-9f3d-483220f1d838_SiteId">
    <vt:lpwstr>a8218bc3-7d4c-4a61-b912-a6ca487118dd</vt:lpwstr>
  </property>
  <property fmtid="{D5CDD505-2E9C-101B-9397-08002B2CF9AE}" pid="10" name="MSIP_Label_3a28a66c-3c7f-463f-9f3d-483220f1d838_ActionId">
    <vt:lpwstr>b80ac2d2-85f8-4370-87c2-c3d0229ba9b0</vt:lpwstr>
  </property>
  <property fmtid="{D5CDD505-2E9C-101B-9397-08002B2CF9AE}" pid="11" name="MSIP_Label_3a28a66c-3c7f-463f-9f3d-483220f1d838_ContentBits">
    <vt:lpwstr>0</vt:lpwstr>
  </property>
  <property fmtid="{D5CDD505-2E9C-101B-9397-08002B2CF9AE}" pid="12" name="MSIP_Label_3a28a66c-3c7f-463f-9f3d-483220f1d838_Tag">
    <vt:lpwstr>10, 3, 0, 1</vt:lpwstr>
  </property>
</Properties>
</file>